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18" w:rsidRDefault="007D0209" w:rsidP="007D0209">
      <w:pPr>
        <w:pStyle w:val="Style4"/>
        <w:shd w:val="clear" w:color="auto" w:fill="auto"/>
        <w:spacing w:after="596" w:line="322" w:lineRule="exact"/>
        <w:ind w:left="200"/>
        <w:jc w:val="both"/>
        <w:rPr>
          <w:rStyle w:val="CharStyle5"/>
          <w:lang w:val="ru-RU"/>
        </w:rPr>
      </w:pPr>
      <w:r w:rsidRPr="007D0209">
        <w:rPr>
          <w:b/>
          <w:bCs/>
          <w:color w:val="FF0000"/>
          <w:sz w:val="28"/>
          <w:szCs w:val="28"/>
        </w:rPr>
        <w:t>Утратил силу в связи с вступлением в силу Решения Коллегии Евразийс</w:t>
      </w:r>
      <w:bookmarkStart w:id="0" w:name="_GoBack"/>
      <w:bookmarkEnd w:id="0"/>
      <w:r w:rsidRPr="007D0209">
        <w:rPr>
          <w:b/>
          <w:bCs/>
          <w:color w:val="FF0000"/>
          <w:sz w:val="28"/>
          <w:szCs w:val="28"/>
        </w:rPr>
        <w:t>кой экономической комиссии от 08.11.2016 № </w:t>
      </w:r>
      <w:hyperlink r:id="rId11" w:history="1">
        <w:r w:rsidRPr="007D0209">
          <w:rPr>
            <w:rStyle w:val="aa"/>
            <w:b/>
            <w:bCs/>
            <w:sz w:val="28"/>
            <w:szCs w:val="28"/>
          </w:rPr>
          <w:t>140​</w:t>
        </w:r>
      </w:hyperlink>
      <w:r w:rsidRPr="007D0209">
        <w:rPr>
          <w:b/>
          <w:bCs/>
          <w:color w:val="FF0000"/>
          <w:sz w:val="28"/>
          <w:szCs w:val="28"/>
        </w:rPr>
        <w:t>.</w:t>
      </w:r>
    </w:p>
    <w:p w:rsidR="00C62A54" w:rsidRPr="00C62A54" w:rsidRDefault="00C62A54" w:rsidP="00BC7D18">
      <w:pPr>
        <w:pStyle w:val="Style4"/>
        <w:shd w:val="clear" w:color="auto" w:fill="auto"/>
        <w:spacing w:line="240" w:lineRule="auto"/>
        <w:ind w:left="198"/>
        <w:jc w:val="center"/>
        <w:rPr>
          <w:rStyle w:val="CharStyle5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558E5" wp14:editId="0C30322B">
                <wp:simplePos x="0" y="0"/>
                <wp:positionH relativeFrom="column">
                  <wp:posOffset>3502660</wp:posOffset>
                </wp:positionH>
                <wp:positionV relativeFrom="paragraph">
                  <wp:posOffset>109855</wp:posOffset>
                </wp:positionV>
                <wp:extent cx="2921000" cy="795020"/>
                <wp:effectExtent l="0" t="0" r="12700" b="2413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18" w:rsidRPr="00BC7D18" w:rsidRDefault="00BC7D18" w:rsidP="00BC7D18">
                            <w:pPr>
                              <w:pStyle w:val="Style4"/>
                              <w:shd w:val="clear" w:color="auto" w:fill="auto"/>
                              <w:spacing w:line="240" w:lineRule="auto"/>
                              <w:ind w:right="561"/>
                              <w:jc w:val="center"/>
                              <w:rPr>
                                <w:rStyle w:val="CharStyle5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C7D18">
                              <w:rPr>
                                <w:rStyle w:val="CharStyle5"/>
                                <w:sz w:val="24"/>
                                <w:szCs w:val="24"/>
                              </w:rPr>
                              <w:t xml:space="preserve">Приложение № 2 </w:t>
                            </w:r>
                          </w:p>
                          <w:p w:rsidR="00BC7D18" w:rsidRDefault="00BC7D18" w:rsidP="00BC7D18">
                            <w:pPr>
                              <w:pStyle w:val="Style4"/>
                              <w:shd w:val="clear" w:color="auto" w:fill="auto"/>
                              <w:spacing w:line="240" w:lineRule="auto"/>
                              <w:ind w:right="561"/>
                              <w:jc w:val="center"/>
                              <w:rPr>
                                <w:rStyle w:val="CharStyle5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C7D18">
                              <w:rPr>
                                <w:rStyle w:val="CharStyle5"/>
                                <w:sz w:val="24"/>
                                <w:szCs w:val="24"/>
                              </w:rPr>
                              <w:t xml:space="preserve">к Решению Коллегии Евразийской экономической комиссии </w:t>
                            </w:r>
                          </w:p>
                          <w:p w:rsidR="00BC7D18" w:rsidRPr="00BC7D18" w:rsidRDefault="00BC7D18" w:rsidP="00BC7D18">
                            <w:pPr>
                              <w:pStyle w:val="Style4"/>
                              <w:shd w:val="clear" w:color="auto" w:fill="auto"/>
                              <w:spacing w:line="240" w:lineRule="auto"/>
                              <w:ind w:right="56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7D18">
                              <w:rPr>
                                <w:rStyle w:val="CharStyle5"/>
                                <w:sz w:val="24"/>
                                <w:szCs w:val="24"/>
                              </w:rPr>
                              <w:t>от 25 сентября 2012 г. № 169</w:t>
                            </w:r>
                          </w:p>
                          <w:p w:rsidR="00BC7D18" w:rsidRDefault="00BC7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8pt;margin-top:8.65pt;width:230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" strokecolor="white [3212]">
                <v:textbox>
                  <w:txbxContent>
                    <w:p w:rsidR="00BC7D18" w:rsidRPr="00BC7D18" w:rsidRDefault="00BC7D18" w:rsidP="00BC7D18">
                      <w:pPr>
                        <w:pStyle w:val="Style4"/>
                        <w:shd w:val="clear" w:color="auto" w:fill="auto"/>
                        <w:spacing w:line="240" w:lineRule="auto"/>
                        <w:ind w:right="561"/>
                        <w:jc w:val="center"/>
                        <w:rPr>
                          <w:rStyle w:val="CharStyle5"/>
                          <w:sz w:val="24"/>
                          <w:szCs w:val="24"/>
                          <w:lang w:val="ru-RU"/>
                        </w:rPr>
                      </w:pPr>
                      <w:r w:rsidRPr="00BC7D18">
                        <w:rPr>
                          <w:rStyle w:val="CharStyle5"/>
                          <w:sz w:val="24"/>
                          <w:szCs w:val="24"/>
                        </w:rPr>
                        <w:t xml:space="preserve">Приложение № 2 </w:t>
                      </w:r>
                    </w:p>
                    <w:p w:rsidR="00BC7D18" w:rsidRDefault="00BC7D18" w:rsidP="00BC7D18">
                      <w:pPr>
                        <w:pStyle w:val="Style4"/>
                        <w:shd w:val="clear" w:color="auto" w:fill="auto"/>
                        <w:spacing w:line="240" w:lineRule="auto"/>
                        <w:ind w:right="561"/>
                        <w:jc w:val="center"/>
                        <w:rPr>
                          <w:rStyle w:val="CharStyle5"/>
                          <w:sz w:val="24"/>
                          <w:szCs w:val="24"/>
                          <w:lang w:val="ru-RU"/>
                        </w:rPr>
                      </w:pPr>
                      <w:r w:rsidRPr="00BC7D18">
                        <w:rPr>
                          <w:rStyle w:val="CharStyle5"/>
                          <w:sz w:val="24"/>
                          <w:szCs w:val="24"/>
                        </w:rPr>
                        <w:t xml:space="preserve">к Решению Коллегии Евразийской экономической комиссии </w:t>
                      </w:r>
                    </w:p>
                    <w:p w:rsidR="00BC7D18" w:rsidRPr="00BC7D18" w:rsidRDefault="00BC7D18" w:rsidP="00BC7D18">
                      <w:pPr>
                        <w:pStyle w:val="Style4"/>
                        <w:shd w:val="clear" w:color="auto" w:fill="auto"/>
                        <w:spacing w:line="240" w:lineRule="auto"/>
                        <w:ind w:right="56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C7D18">
                        <w:rPr>
                          <w:rStyle w:val="CharStyle5"/>
                          <w:sz w:val="24"/>
                          <w:szCs w:val="24"/>
                        </w:rPr>
                        <w:t>от 25 сентября 2012 г. № 169</w:t>
                      </w:r>
                    </w:p>
                    <w:p w:rsidR="00BC7D18" w:rsidRDefault="00BC7D18"/>
                  </w:txbxContent>
                </v:textbox>
              </v:shape>
            </w:pict>
          </mc:Fallback>
        </mc:AlternateContent>
      </w:r>
    </w:p>
    <w:p w:rsidR="00C62A54" w:rsidRPr="00C62A54" w:rsidRDefault="00C62A54" w:rsidP="00BC7D18">
      <w:pPr>
        <w:pStyle w:val="Style4"/>
        <w:shd w:val="clear" w:color="auto" w:fill="auto"/>
        <w:spacing w:line="240" w:lineRule="auto"/>
        <w:ind w:left="198"/>
        <w:jc w:val="center"/>
        <w:rPr>
          <w:rStyle w:val="CharStyle5"/>
          <w:lang w:val="ru-RU"/>
        </w:rPr>
      </w:pPr>
    </w:p>
    <w:p w:rsidR="00C62A54" w:rsidRDefault="00C62A54" w:rsidP="00BC7D18">
      <w:pPr>
        <w:pStyle w:val="Style4"/>
        <w:shd w:val="clear" w:color="auto" w:fill="auto"/>
        <w:spacing w:line="240" w:lineRule="auto"/>
        <w:ind w:left="198"/>
        <w:jc w:val="center"/>
        <w:rPr>
          <w:rStyle w:val="CharStyle5"/>
          <w:lang w:val="ru-RU"/>
        </w:rPr>
      </w:pPr>
    </w:p>
    <w:p w:rsidR="00C62A54" w:rsidRDefault="00C62A54" w:rsidP="00BC7D18">
      <w:pPr>
        <w:pStyle w:val="Style4"/>
        <w:shd w:val="clear" w:color="auto" w:fill="auto"/>
        <w:spacing w:line="240" w:lineRule="auto"/>
        <w:ind w:left="198"/>
        <w:jc w:val="center"/>
        <w:rPr>
          <w:rStyle w:val="CharStyle5"/>
          <w:lang w:val="ru-RU"/>
        </w:rPr>
      </w:pPr>
    </w:p>
    <w:p w:rsidR="00C62A54" w:rsidRDefault="00C62A54" w:rsidP="00BC7D18">
      <w:pPr>
        <w:pStyle w:val="Style4"/>
        <w:shd w:val="clear" w:color="auto" w:fill="auto"/>
        <w:spacing w:line="240" w:lineRule="auto"/>
        <w:ind w:left="198"/>
        <w:jc w:val="center"/>
        <w:rPr>
          <w:rStyle w:val="CharStyle5"/>
          <w:lang w:val="ru-RU"/>
        </w:rPr>
      </w:pPr>
    </w:p>
    <w:p w:rsidR="00C62A54" w:rsidRDefault="00C62A54" w:rsidP="00BC7D18">
      <w:pPr>
        <w:pStyle w:val="Style4"/>
        <w:shd w:val="clear" w:color="auto" w:fill="auto"/>
        <w:spacing w:line="240" w:lineRule="auto"/>
        <w:ind w:left="198"/>
        <w:jc w:val="center"/>
        <w:rPr>
          <w:rStyle w:val="CharStyle5"/>
          <w:lang w:val="ru-RU"/>
        </w:rPr>
      </w:pPr>
    </w:p>
    <w:p w:rsidR="00C62A54" w:rsidRDefault="00C62A54" w:rsidP="00BC7D18">
      <w:pPr>
        <w:pStyle w:val="Style4"/>
        <w:shd w:val="clear" w:color="auto" w:fill="auto"/>
        <w:spacing w:line="240" w:lineRule="auto"/>
        <w:ind w:left="198"/>
        <w:jc w:val="center"/>
        <w:rPr>
          <w:rStyle w:val="CharStyle5"/>
          <w:lang w:val="ru-RU"/>
        </w:rPr>
      </w:pPr>
    </w:p>
    <w:p w:rsidR="00BC7D18" w:rsidRDefault="00310C71" w:rsidP="00BC7D18">
      <w:pPr>
        <w:pStyle w:val="Style4"/>
        <w:shd w:val="clear" w:color="auto" w:fill="auto"/>
        <w:spacing w:line="240" w:lineRule="auto"/>
        <w:ind w:left="198"/>
        <w:jc w:val="center"/>
        <w:rPr>
          <w:rStyle w:val="CharStyle5"/>
          <w:lang w:val="ru-RU"/>
        </w:rPr>
      </w:pPr>
      <w:r>
        <w:rPr>
          <w:rStyle w:val="CharStyle5"/>
        </w:rPr>
        <w:t xml:space="preserve">2.29. ТОВАРЫ, В ОТНОШЕНИИ КОТОРЫХ </w:t>
      </w:r>
    </w:p>
    <w:p w:rsidR="00BC7D18" w:rsidRDefault="00310C71" w:rsidP="00BC7D18">
      <w:pPr>
        <w:pStyle w:val="Style4"/>
        <w:shd w:val="clear" w:color="auto" w:fill="auto"/>
        <w:spacing w:line="240" w:lineRule="auto"/>
        <w:ind w:left="198"/>
        <w:jc w:val="center"/>
        <w:rPr>
          <w:rStyle w:val="CharStyle5"/>
          <w:lang w:val="ru-RU"/>
        </w:rPr>
      </w:pPr>
      <w:r>
        <w:rPr>
          <w:rStyle w:val="CharStyle5"/>
        </w:rPr>
        <w:t xml:space="preserve">ГОСУДАРСТВАМИ - ЧЛЕНАМИ ТАМОЖЕННОГО СОЮЗА </w:t>
      </w:r>
    </w:p>
    <w:p w:rsidR="001C1FC3" w:rsidRDefault="00310C71" w:rsidP="00BC7D18">
      <w:pPr>
        <w:pStyle w:val="Style4"/>
        <w:shd w:val="clear" w:color="auto" w:fill="auto"/>
        <w:spacing w:line="240" w:lineRule="auto"/>
        <w:ind w:left="198"/>
        <w:jc w:val="center"/>
        <w:rPr>
          <w:rStyle w:val="CharStyle5"/>
          <w:lang w:val="ru-RU"/>
        </w:rPr>
      </w:pPr>
      <w:r>
        <w:rPr>
          <w:rStyle w:val="CharStyle5"/>
        </w:rPr>
        <w:t>ПРИМЕНЯЕТСЯ ЛИЦЕНЗИРОВАНИЕ ИМПОРТА НА ОСНОВАНИИ РЕШЕНИЙ ОБ УСТАНОВЛЕНИИ ИМПОРТНОЙ КВОТЫ В КАЧЕСТВЕ СПЕЦИАЛЬНОЙ ЗАЩИТНОЙ МЕРЫ</w:t>
      </w:r>
    </w:p>
    <w:p w:rsidR="00BC7D18" w:rsidRDefault="00BC7D18" w:rsidP="00BC7D18">
      <w:pPr>
        <w:pStyle w:val="Style4"/>
        <w:shd w:val="clear" w:color="auto" w:fill="auto"/>
        <w:spacing w:line="240" w:lineRule="auto"/>
        <w:ind w:left="198"/>
        <w:jc w:val="center"/>
        <w:rPr>
          <w:lang w:val="ru-RU"/>
        </w:rPr>
      </w:pPr>
    </w:p>
    <w:tbl>
      <w:tblPr>
        <w:tblStyle w:val="a5"/>
        <w:tblW w:w="0" w:type="auto"/>
        <w:tblInd w:w="198" w:type="dxa"/>
        <w:tblLook w:val="04A0" w:firstRow="1" w:lastRow="0" w:firstColumn="1" w:lastColumn="0" w:noHBand="0" w:noVBand="1"/>
      </w:tblPr>
      <w:tblGrid>
        <w:gridCol w:w="4946"/>
        <w:gridCol w:w="4917"/>
      </w:tblGrid>
      <w:tr w:rsidR="00C653CD" w:rsidTr="00C653CD">
        <w:tc>
          <w:tcPr>
            <w:tcW w:w="4946" w:type="dxa"/>
          </w:tcPr>
          <w:p w:rsidR="00C653CD" w:rsidRDefault="00C653CD" w:rsidP="00BC7D18">
            <w:pPr>
              <w:pStyle w:val="Style4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rStyle w:val="CharStyle5"/>
              </w:rPr>
              <w:t>Наименование товара</w:t>
            </w:r>
          </w:p>
        </w:tc>
        <w:tc>
          <w:tcPr>
            <w:tcW w:w="4917" w:type="dxa"/>
          </w:tcPr>
          <w:p w:rsidR="00C653CD" w:rsidRDefault="00C653CD" w:rsidP="00BC7D18">
            <w:pPr>
              <w:pStyle w:val="Style4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rStyle w:val="CharStyle5"/>
              </w:rPr>
              <w:t>Код ТН ВЭД ТС</w:t>
            </w:r>
          </w:p>
        </w:tc>
      </w:tr>
      <w:tr w:rsidR="00C653CD" w:rsidTr="00C653CD">
        <w:tc>
          <w:tcPr>
            <w:tcW w:w="4946" w:type="dxa"/>
          </w:tcPr>
          <w:p w:rsidR="00C653CD" w:rsidRDefault="00301D6C" w:rsidP="00301D6C">
            <w:pPr>
              <w:pStyle w:val="Style4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1A39D8">
              <w:rPr>
                <w:sz w:val="28"/>
                <w:szCs w:val="28"/>
              </w:rPr>
              <w:t>Зерноуборочные комбайны</w:t>
            </w:r>
            <w:r>
              <w:rPr>
                <w:sz w:val="28"/>
                <w:szCs w:val="28"/>
              </w:rPr>
              <w:t xml:space="preserve"> и м</w:t>
            </w:r>
            <w:r w:rsidRPr="001A39D8">
              <w:rPr>
                <w:sz w:val="28"/>
                <w:szCs w:val="28"/>
              </w:rPr>
              <w:t xml:space="preserve">одули зерноуборочных комбайнов, </w:t>
            </w:r>
            <w:proofErr w:type="gramStart"/>
            <w:r w:rsidRPr="001A39D8">
              <w:rPr>
                <w:sz w:val="28"/>
                <w:szCs w:val="28"/>
              </w:rPr>
              <w:t>состоящие</w:t>
            </w:r>
            <w:proofErr w:type="gramEnd"/>
            <w:r w:rsidRPr="001A39D8">
              <w:rPr>
                <w:sz w:val="28"/>
                <w:szCs w:val="28"/>
              </w:rPr>
              <w:t xml:space="preserve"> по крайней мере из </w:t>
            </w:r>
            <w:proofErr w:type="spellStart"/>
            <w:r w:rsidRPr="001A39D8">
              <w:rPr>
                <w:sz w:val="28"/>
                <w:szCs w:val="28"/>
              </w:rPr>
              <w:t>молотильно</w:t>
            </w:r>
            <w:proofErr w:type="spellEnd"/>
            <w:r w:rsidRPr="001A39D8">
              <w:rPr>
                <w:sz w:val="28"/>
                <w:szCs w:val="28"/>
              </w:rPr>
              <w:t>-сепарирующего устройства, оснащенного или не оснащенного молотильным барабаном, системы очистки и двигателя, установленных на несущем основании или раме-шасси, предусматривающих установку мостов, колес или гусениц</w:t>
            </w:r>
            <w:r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4917" w:type="dxa"/>
          </w:tcPr>
          <w:p w:rsidR="00C653CD" w:rsidRDefault="00301D6C" w:rsidP="00301D6C">
            <w:pPr>
              <w:pStyle w:val="Style4"/>
              <w:shd w:val="clear" w:color="auto" w:fill="auto"/>
              <w:spacing w:line="240" w:lineRule="auto"/>
              <w:ind w:left="-41"/>
              <w:contextualSpacing/>
              <w:jc w:val="center"/>
              <w:rPr>
                <w:rStyle w:val="CharStyle5"/>
                <w:lang w:val="ru-RU"/>
              </w:rPr>
            </w:pPr>
            <w:r w:rsidRPr="001A39D8">
              <w:rPr>
                <w:sz w:val="28"/>
                <w:szCs w:val="28"/>
              </w:rPr>
              <w:t>8433 51 000</w:t>
            </w:r>
            <w:r w:rsidRPr="001A39D8">
              <w:rPr>
                <w:sz w:val="28"/>
                <w:szCs w:val="28"/>
                <w:lang w:val="en-US"/>
              </w:rPr>
              <w:t> </w:t>
            </w:r>
            <w:r w:rsidRPr="001A39D8">
              <w:rPr>
                <w:sz w:val="28"/>
                <w:szCs w:val="28"/>
              </w:rPr>
              <w:t xml:space="preserve">1 </w:t>
            </w:r>
            <w:r w:rsidRPr="001A39D8">
              <w:rPr>
                <w:sz w:val="28"/>
                <w:szCs w:val="28"/>
              </w:rPr>
              <w:br/>
              <w:t>8433</w:t>
            </w:r>
            <w:r w:rsidRPr="001A39D8">
              <w:rPr>
                <w:sz w:val="28"/>
                <w:szCs w:val="28"/>
                <w:lang w:val="en-US"/>
              </w:rPr>
              <w:t> </w:t>
            </w:r>
            <w:r w:rsidRPr="001A39D8">
              <w:rPr>
                <w:sz w:val="28"/>
                <w:szCs w:val="28"/>
              </w:rPr>
              <w:t>51 000 9</w:t>
            </w:r>
            <w:r w:rsidRPr="001A39D8">
              <w:rPr>
                <w:sz w:val="28"/>
                <w:szCs w:val="28"/>
              </w:rPr>
              <w:br/>
              <w:t>8433 90 000 0</w:t>
            </w:r>
          </w:p>
          <w:p w:rsidR="00C653CD" w:rsidRPr="00C653CD" w:rsidRDefault="00C653CD" w:rsidP="00C653CD">
            <w:pPr>
              <w:pStyle w:val="Style4"/>
              <w:shd w:val="clear" w:color="auto" w:fill="auto"/>
              <w:spacing w:line="240" w:lineRule="auto"/>
              <w:ind w:left="278"/>
              <w:contextualSpacing/>
              <w:rPr>
                <w:rStyle w:val="CharStyle5"/>
                <w:lang w:val="ru-RU"/>
              </w:rPr>
            </w:pPr>
          </w:p>
        </w:tc>
      </w:tr>
    </w:tbl>
    <w:p w:rsidR="001C1FC3" w:rsidRDefault="001C1FC3" w:rsidP="00BC7D18">
      <w:pPr>
        <w:rPr>
          <w:sz w:val="2"/>
          <w:szCs w:val="2"/>
          <w:lang w:val="ru-RU"/>
        </w:rPr>
      </w:pPr>
    </w:p>
    <w:p w:rsidR="00C653CD" w:rsidRPr="00C653CD" w:rsidRDefault="00C653CD" w:rsidP="00BC7D18">
      <w:pPr>
        <w:rPr>
          <w:sz w:val="2"/>
          <w:szCs w:val="2"/>
          <w:lang w:val="ru-RU"/>
        </w:rPr>
      </w:pPr>
    </w:p>
    <w:p w:rsidR="00301D6C" w:rsidRDefault="00301D6C">
      <w:pPr>
        <w:rPr>
          <w:sz w:val="2"/>
          <w:szCs w:val="2"/>
          <w:lang w:val="ru-RU"/>
        </w:rPr>
      </w:pPr>
    </w:p>
    <w:p w:rsidR="00301D6C" w:rsidRPr="00301D6C" w:rsidRDefault="00301D6C" w:rsidP="00301D6C">
      <w:pPr>
        <w:rPr>
          <w:sz w:val="2"/>
          <w:szCs w:val="2"/>
          <w:lang w:val="ru-RU"/>
        </w:rPr>
      </w:pPr>
    </w:p>
    <w:p w:rsidR="00301D6C" w:rsidRPr="00301D6C" w:rsidRDefault="00301D6C" w:rsidP="00301D6C">
      <w:pPr>
        <w:rPr>
          <w:sz w:val="2"/>
          <w:szCs w:val="2"/>
          <w:lang w:val="ru-RU"/>
        </w:rPr>
      </w:pPr>
    </w:p>
    <w:p w:rsidR="00301D6C" w:rsidRPr="00301D6C" w:rsidRDefault="00301D6C" w:rsidP="00301D6C">
      <w:pPr>
        <w:rPr>
          <w:sz w:val="2"/>
          <w:szCs w:val="2"/>
          <w:lang w:val="ru-RU"/>
        </w:rPr>
      </w:pPr>
    </w:p>
    <w:p w:rsidR="00301D6C" w:rsidRPr="00301D6C" w:rsidRDefault="00301D6C" w:rsidP="00301D6C">
      <w:pPr>
        <w:rPr>
          <w:sz w:val="2"/>
          <w:szCs w:val="2"/>
          <w:lang w:val="ru-RU"/>
        </w:rPr>
      </w:pPr>
    </w:p>
    <w:p w:rsidR="00301D6C" w:rsidRPr="00301D6C" w:rsidRDefault="00301D6C" w:rsidP="00301D6C">
      <w:pPr>
        <w:rPr>
          <w:sz w:val="2"/>
          <w:szCs w:val="2"/>
          <w:lang w:val="ru-RU"/>
        </w:rPr>
      </w:pPr>
    </w:p>
    <w:p w:rsidR="00301D6C" w:rsidRPr="00301D6C" w:rsidRDefault="00301D6C" w:rsidP="00301D6C">
      <w:pPr>
        <w:rPr>
          <w:sz w:val="2"/>
          <w:szCs w:val="2"/>
          <w:lang w:val="ru-RU"/>
        </w:rPr>
      </w:pPr>
    </w:p>
    <w:p w:rsidR="00301D6C" w:rsidRPr="00301D6C" w:rsidRDefault="00301D6C" w:rsidP="00301D6C">
      <w:pPr>
        <w:rPr>
          <w:sz w:val="2"/>
          <w:szCs w:val="2"/>
          <w:lang w:val="ru-RU"/>
        </w:rPr>
      </w:pPr>
    </w:p>
    <w:p w:rsidR="00301D6C" w:rsidRPr="00301D6C" w:rsidRDefault="00301D6C" w:rsidP="00301D6C">
      <w:pPr>
        <w:rPr>
          <w:sz w:val="2"/>
          <w:szCs w:val="2"/>
          <w:lang w:val="ru-RU"/>
        </w:rPr>
      </w:pPr>
    </w:p>
    <w:p w:rsidR="00301D6C" w:rsidRPr="00301D6C" w:rsidRDefault="00301D6C" w:rsidP="00301D6C">
      <w:pPr>
        <w:rPr>
          <w:sz w:val="2"/>
          <w:szCs w:val="2"/>
          <w:lang w:val="ru-RU"/>
        </w:rPr>
      </w:pPr>
    </w:p>
    <w:p w:rsidR="00301D6C" w:rsidRPr="00301D6C" w:rsidRDefault="00301D6C" w:rsidP="00301D6C">
      <w:pPr>
        <w:rPr>
          <w:sz w:val="2"/>
          <w:szCs w:val="2"/>
          <w:lang w:val="ru-RU"/>
        </w:rPr>
      </w:pPr>
    </w:p>
    <w:p w:rsidR="00301D6C" w:rsidRPr="00301D6C" w:rsidRDefault="00301D6C" w:rsidP="00301D6C">
      <w:pPr>
        <w:rPr>
          <w:sz w:val="2"/>
          <w:szCs w:val="2"/>
          <w:lang w:val="ru-RU"/>
        </w:rPr>
      </w:pPr>
    </w:p>
    <w:p w:rsidR="00301D6C" w:rsidRPr="00301D6C" w:rsidRDefault="00301D6C" w:rsidP="00301D6C">
      <w:pPr>
        <w:rPr>
          <w:sz w:val="2"/>
          <w:szCs w:val="2"/>
          <w:lang w:val="ru-RU"/>
        </w:rPr>
      </w:pPr>
    </w:p>
    <w:p w:rsidR="00301D6C" w:rsidRDefault="00301D6C" w:rsidP="00301D6C">
      <w:pPr>
        <w:rPr>
          <w:sz w:val="2"/>
          <w:szCs w:val="2"/>
          <w:lang w:val="ru-RU"/>
        </w:rPr>
      </w:pPr>
    </w:p>
    <w:p w:rsidR="00301D6C" w:rsidRDefault="00301D6C" w:rsidP="00301D6C">
      <w:pPr>
        <w:rPr>
          <w:sz w:val="2"/>
          <w:szCs w:val="2"/>
          <w:lang w:val="ru-RU"/>
        </w:rPr>
      </w:pPr>
    </w:p>
    <w:p w:rsidR="00301D6C" w:rsidRDefault="00301D6C" w:rsidP="00301D6C">
      <w:pPr>
        <w:rPr>
          <w:sz w:val="2"/>
          <w:szCs w:val="2"/>
          <w:lang w:val="ru-RU"/>
        </w:rPr>
      </w:pPr>
    </w:p>
    <w:p w:rsidR="00301D6C" w:rsidRDefault="00301D6C" w:rsidP="00301D6C">
      <w:pPr>
        <w:pStyle w:val="Style2"/>
        <w:shd w:val="clear" w:color="auto" w:fill="auto"/>
        <w:ind w:right="200"/>
        <w:rPr>
          <w:rStyle w:val="CharStyle3"/>
          <w:lang w:val="ru-RU"/>
        </w:rPr>
      </w:pPr>
    </w:p>
    <w:p w:rsidR="00301D6C" w:rsidRPr="0019352F" w:rsidRDefault="00301D6C" w:rsidP="00D06DF6">
      <w:pPr>
        <w:pStyle w:val="Style2"/>
        <w:shd w:val="clear" w:color="auto" w:fill="auto"/>
        <w:ind w:right="200"/>
        <w:rPr>
          <w:sz w:val="2"/>
          <w:szCs w:val="2"/>
          <w:lang w:val="ru-RU"/>
        </w:rPr>
      </w:pPr>
      <w:r w:rsidRPr="006919D8">
        <w:rPr>
          <w:sz w:val="30"/>
          <w:szCs w:val="30"/>
        </w:rPr>
        <w:t>**</w:t>
      </w:r>
      <w:r>
        <w:rPr>
          <w:sz w:val="30"/>
          <w:szCs w:val="30"/>
        </w:rPr>
        <w:t> </w:t>
      </w:r>
      <w:r w:rsidRPr="006919D8">
        <w:rPr>
          <w:sz w:val="30"/>
          <w:szCs w:val="30"/>
        </w:rPr>
        <w:t>Порядок</w:t>
      </w:r>
      <w:r>
        <w:rPr>
          <w:sz w:val="30"/>
          <w:szCs w:val="30"/>
        </w:rPr>
        <w:t xml:space="preserve"> применения</w:t>
      </w:r>
      <w:r w:rsidRPr="006919D8">
        <w:rPr>
          <w:sz w:val="30"/>
          <w:szCs w:val="30"/>
        </w:rPr>
        <w:t xml:space="preserve"> и срок </w:t>
      </w:r>
      <w:r>
        <w:rPr>
          <w:sz w:val="30"/>
          <w:szCs w:val="30"/>
        </w:rPr>
        <w:t>действия</w:t>
      </w:r>
      <w:r w:rsidRPr="006919D8">
        <w:rPr>
          <w:sz w:val="30"/>
          <w:szCs w:val="30"/>
        </w:rPr>
        <w:t xml:space="preserve"> импортной квоты определены Решением Коллегии Евразийской экономической комиссии от 25 июня 2013 г. № 143 «О применении специальной защитной меры посредством ведения импортной квоты в отношении зерноуборочных комбайнов и модулей зерноуборочных комбайнов</w:t>
      </w:r>
      <w:r>
        <w:rPr>
          <w:sz w:val="30"/>
          <w:szCs w:val="30"/>
          <w:lang w:val="ru-RU"/>
        </w:rPr>
        <w:t>».</w:t>
      </w:r>
    </w:p>
    <w:sectPr w:rsidR="00301D6C" w:rsidRPr="0019352F" w:rsidSect="00C62A54">
      <w:footnotePr>
        <w:numFmt w:val="chicago"/>
        <w:numRestart w:val="eachPage"/>
      </w:footnotePr>
      <w:type w:val="continuous"/>
      <w:pgSz w:w="11909" w:h="16834"/>
      <w:pgMar w:top="851" w:right="1032" w:bottom="568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17" w:rsidRDefault="00DC5017">
      <w:r>
        <w:separator/>
      </w:r>
    </w:p>
  </w:endnote>
  <w:endnote w:type="continuationSeparator" w:id="0">
    <w:p w:rsidR="00DC5017" w:rsidRDefault="00DC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17" w:rsidRDefault="00DC5017">
      <w:r>
        <w:separator/>
      </w:r>
    </w:p>
  </w:footnote>
  <w:footnote w:type="continuationSeparator" w:id="0">
    <w:p w:rsidR="00DC5017" w:rsidRDefault="00DC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C3"/>
    <w:rsid w:val="000F5D72"/>
    <w:rsid w:val="0019352F"/>
    <w:rsid w:val="001C1FC3"/>
    <w:rsid w:val="001D1F1A"/>
    <w:rsid w:val="002D64C5"/>
    <w:rsid w:val="002F6707"/>
    <w:rsid w:val="00301D6C"/>
    <w:rsid w:val="00310C71"/>
    <w:rsid w:val="00374D84"/>
    <w:rsid w:val="003C012C"/>
    <w:rsid w:val="004D5651"/>
    <w:rsid w:val="00625A37"/>
    <w:rsid w:val="007D0209"/>
    <w:rsid w:val="00805AE9"/>
    <w:rsid w:val="0081158C"/>
    <w:rsid w:val="008229D7"/>
    <w:rsid w:val="008613E7"/>
    <w:rsid w:val="008C72F0"/>
    <w:rsid w:val="00921308"/>
    <w:rsid w:val="009B4ACC"/>
    <w:rsid w:val="00A941A7"/>
    <w:rsid w:val="00BC7D18"/>
    <w:rsid w:val="00BF153C"/>
    <w:rsid w:val="00C13197"/>
    <w:rsid w:val="00C62A54"/>
    <w:rsid w:val="00C653CD"/>
    <w:rsid w:val="00D06DF6"/>
    <w:rsid w:val="00D25DF6"/>
    <w:rsid w:val="00DC5017"/>
    <w:rsid w:val="00E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Style4">
    <w:name w:val="Style 4"/>
    <w:basedOn w:val="a"/>
    <w:link w:val="CharStyle5"/>
    <w:pPr>
      <w:shd w:val="clear" w:color="auto" w:fill="FFFFFF"/>
      <w:spacing w:line="0" w:lineRule="atLeast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C7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18"/>
    <w:rPr>
      <w:rFonts w:ascii="Tahoma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C6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2A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A54"/>
    <w:rPr>
      <w:color w:val="000000"/>
    </w:rPr>
  </w:style>
  <w:style w:type="paragraph" w:styleId="a8">
    <w:name w:val="footer"/>
    <w:basedOn w:val="a"/>
    <w:link w:val="a9"/>
    <w:uiPriority w:val="99"/>
    <w:unhideWhenUsed/>
    <w:rsid w:val="00C62A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A54"/>
    <w:rPr>
      <w:color w:val="000000"/>
    </w:rPr>
  </w:style>
  <w:style w:type="character" w:styleId="aa">
    <w:name w:val="Hyperlink"/>
    <w:basedOn w:val="a0"/>
    <w:uiPriority w:val="99"/>
    <w:unhideWhenUsed/>
    <w:rsid w:val="00C62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Style4">
    <w:name w:val="Style 4"/>
    <w:basedOn w:val="a"/>
    <w:link w:val="CharStyle5"/>
    <w:pPr>
      <w:shd w:val="clear" w:color="auto" w:fill="FFFFFF"/>
      <w:spacing w:line="0" w:lineRule="atLeast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C7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18"/>
    <w:rPr>
      <w:rFonts w:ascii="Tahoma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C6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2A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A54"/>
    <w:rPr>
      <w:color w:val="000000"/>
    </w:rPr>
  </w:style>
  <w:style w:type="paragraph" w:styleId="a8">
    <w:name w:val="footer"/>
    <w:basedOn w:val="a"/>
    <w:link w:val="a9"/>
    <w:uiPriority w:val="99"/>
    <w:unhideWhenUsed/>
    <w:rsid w:val="00C62A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A54"/>
    <w:rPr>
      <w:color w:val="000000"/>
    </w:rPr>
  </w:style>
  <w:style w:type="character" w:styleId="aa">
    <w:name w:val="Hyperlink"/>
    <w:basedOn w:val="a0"/>
    <w:uiPriority w:val="99"/>
    <w:unhideWhenUsed/>
    <w:rsid w:val="00C62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53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docs.eaeunion.org/docs/ru-ru/01411826/clcd_09112016_140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6449-2A1E-4F15-AE77-710F106DA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8EC22-98EC-445D-976B-78A8F6F13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8A5B0-BC58-4FBA-A45E-59C64B4958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BC10C6-675C-4B08-B8F5-43693421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mishacheva</dc:creator>
  <cp:lastModifiedBy>Воронкин Юрий Валерьевич</cp:lastModifiedBy>
  <cp:revision>4</cp:revision>
  <cp:lastPrinted>2015-01-30T13:30:00Z</cp:lastPrinted>
  <dcterms:created xsi:type="dcterms:W3CDTF">2016-12-07T07:23:00Z</dcterms:created>
  <dcterms:modified xsi:type="dcterms:W3CDTF">2016-12-07T07:32:00Z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